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F91"/>
          <w:sz w:val="26"/>
          <w:szCs w:val="26"/>
        </w:rPr>
      </w:pPr>
      <w:r>
        <w:rPr>
          <w:rFonts w:ascii="Arial" w:hAnsi="Arial" w:cs="Arial"/>
          <w:b/>
          <w:bCs/>
          <w:color w:val="006F91"/>
          <w:sz w:val="32"/>
          <w:szCs w:val="32"/>
        </w:rPr>
        <w:t>9. C</w:t>
      </w:r>
      <w:r>
        <w:rPr>
          <w:rFonts w:ascii="Arial" w:hAnsi="Arial" w:cs="Arial"/>
          <w:b/>
          <w:bCs/>
          <w:color w:val="006F91"/>
          <w:sz w:val="26"/>
          <w:szCs w:val="26"/>
        </w:rPr>
        <w:t>OMPOSÉS ORGANIQUES VOLATILS NON MÉTHANIQUES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F91"/>
          <w:sz w:val="32"/>
          <w:szCs w:val="32"/>
        </w:rPr>
      </w:pPr>
      <w:r>
        <w:rPr>
          <w:rFonts w:ascii="Arial" w:hAnsi="Arial" w:cs="Arial"/>
          <w:b/>
          <w:bCs/>
          <w:color w:val="006F91"/>
          <w:sz w:val="32"/>
          <w:szCs w:val="32"/>
        </w:rPr>
        <w:t>(COVNM)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F91"/>
          <w:sz w:val="28"/>
          <w:szCs w:val="28"/>
        </w:rPr>
      </w:pPr>
      <w:r>
        <w:rPr>
          <w:rFonts w:ascii="Arial" w:hAnsi="Arial" w:cs="Arial"/>
          <w:b/>
          <w:bCs/>
          <w:color w:val="006F91"/>
          <w:sz w:val="28"/>
          <w:szCs w:val="28"/>
        </w:rPr>
        <w:t>Introduction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composés organiques volatils (COV) sont des molécules formées principalement de liaisons entre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 atomes de carbone et des atomes d’hydrogène. Les COV sont volatils dans les conditions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habituelles de température et de pression et peuvent être transportés plus ou moins loin par rapport à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leurs lieux d’émission. Les COV peuvent être classés selon leur origine et selon leur toxicité pour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l’environnement et/ou pour la santé humaine.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Le méthane et les autres composés organiques volatils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méthane </w:t>
      </w:r>
      <w:r>
        <w:rPr>
          <w:rFonts w:ascii="Arial" w:hAnsi="Arial" w:cs="Arial"/>
          <w:color w:val="000000"/>
          <w:sz w:val="20"/>
          <w:szCs w:val="20"/>
        </w:rPr>
        <w:t>(CH</w:t>
      </w:r>
      <w:r>
        <w:rPr>
          <w:rFonts w:ascii="Arial" w:hAnsi="Arial" w:cs="Arial"/>
          <w:color w:val="000000"/>
          <w:sz w:val="13"/>
          <w:szCs w:val="13"/>
        </w:rPr>
        <w:t>4</w:t>
      </w:r>
      <w:r>
        <w:rPr>
          <w:rFonts w:ascii="Arial" w:hAnsi="Arial" w:cs="Arial"/>
          <w:color w:val="000000"/>
          <w:sz w:val="20"/>
          <w:szCs w:val="20"/>
        </w:rPr>
        <w:t>) constitue un des composés organiques volatils les plus simples. A l’échelle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planétaire, plus de 2/3 des émissions de méthane sont liés à des activités humaines. Les émissions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d’origine naturelle viennent majoritairement des zones humides. La teneur en méthane de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l’atmosphère a augmenté de 158% depuis le début de l’</w:t>
      </w:r>
      <w:r w:rsidR="00281D1A"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z w:val="20"/>
          <w:szCs w:val="20"/>
        </w:rPr>
        <w:t>re industrielle. Les émissions de méthane de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l’élevage de bovins, de la riziculture, de l’exploitation des combustibles fossiles et de la mise en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décharge des déchets sont en grande partie responsables de cette augmentation. En Europe, le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méthane est principalement émis par certaines activités agricoles telles que la digestion des ruminants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 la gestion des effluents d’élevage</w:t>
      </w:r>
      <w:r w:rsidR="00226384">
        <w:rPr>
          <w:rFonts w:ascii="Arial" w:hAnsi="Arial" w:cs="Arial"/>
          <w:color w:val="000000"/>
          <w:sz w:val="20"/>
          <w:szCs w:val="20"/>
        </w:rPr>
        <w:t xml:space="preserve"> et</w:t>
      </w:r>
      <w:r>
        <w:rPr>
          <w:rFonts w:ascii="Arial" w:hAnsi="Arial" w:cs="Arial"/>
          <w:color w:val="000000"/>
          <w:sz w:val="20"/>
          <w:szCs w:val="20"/>
        </w:rPr>
        <w:t xml:space="preserve"> des émissions fugitives lors de la distribution du gaz naturel et de la consommation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d’énergie</w:t>
      </w:r>
      <w:r w:rsidR="00226384"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dans les bâtiments. Le méthane n’est pas toxique pour la santé (sauf à forte concentration).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constitue cependant un gaz à effet de serre.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5D90" w:rsidRDefault="00245D90" w:rsidP="00226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Parmi </w:t>
      </w:r>
      <w:r>
        <w:rPr>
          <w:rFonts w:ascii="Arial" w:hAnsi="Arial" w:cs="Arial"/>
          <w:b/>
          <w:bCs/>
          <w:color w:val="000000"/>
          <w:sz w:val="20"/>
          <w:szCs w:val="20"/>
        </w:rPr>
        <w:t>les composés organiques volatils non méthaniques</w:t>
      </w:r>
      <w:r>
        <w:rPr>
          <w:rFonts w:ascii="Arial" w:hAnsi="Arial" w:cs="Arial"/>
          <w:color w:val="000000"/>
          <w:sz w:val="20"/>
          <w:szCs w:val="20"/>
        </w:rPr>
        <w:t>, nous trouvons les solvants, les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hydrocarbures aromatiques (benzène, toluène, xylène,…), les alcools, les esters,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les composés chlorés, azotés et soufrés, ou d’autres composants qui sont ajoutés pour améliorer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l’efficacité de l’agent nettoyant. L’origine de ces différentes familles varie. Certaines sources sont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naturelles (forêts, zones boisées,…), d’autres sont liées à des activités humaines.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tant que gaz à effet de serre les émissions de méthane sont réglées par le protocole de Kyoto. Les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autres composés organiques volatils sont réglés par les protocoles qui découlent de la convention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LRTAP (étant donné que ces composés contribuent à l’acidification, l’eutrophisation et la formation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d’ozone). Chaque année, ces émissions sont répertoriées dans un inventaire qui est communiqué à la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Commission européenne: pour le méthane il s’agit du National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Inventory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ou NIR, pour les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autres COV du Informative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Inventory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IIR </w:t>
      </w:r>
      <w:r w:rsidR="00226384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présente fiche documentée ne traite pas le méthane, uniquement les autres composés organiques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volatils.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Le benzène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benzène (C</w:t>
      </w:r>
      <w:r>
        <w:rPr>
          <w:rFonts w:ascii="Arial" w:hAnsi="Arial" w:cs="Arial"/>
          <w:color w:val="000000"/>
          <w:sz w:val="13"/>
          <w:szCs w:val="13"/>
        </w:rPr>
        <w:t>6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13"/>
          <w:szCs w:val="13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) fait partie de la famille des </w:t>
      </w:r>
      <w:r w:rsidR="00226384">
        <w:rPr>
          <w:rFonts w:ascii="Arial" w:hAnsi="Arial" w:cs="Arial"/>
          <w:color w:val="000000"/>
          <w:sz w:val="20"/>
          <w:szCs w:val="20"/>
        </w:rPr>
        <w:t>hydrocarbures aromatiques</w:t>
      </w:r>
      <w:r>
        <w:rPr>
          <w:rFonts w:ascii="Arial" w:hAnsi="Arial" w:cs="Arial"/>
          <w:color w:val="000000"/>
          <w:sz w:val="20"/>
          <w:szCs w:val="20"/>
        </w:rPr>
        <w:t>. Sa présence dans l’environnement peut être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d’origine naturelle (feux de forêts, activité volcanique…) ou d’origine anthropique. Le benzène est un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solvant liquide volatil présent dans l’essence et utilisé dans l’industrie chimique. Il est également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généré par la combustion incomplèt</w:t>
      </w:r>
      <w:r w:rsidR="00226384">
        <w:rPr>
          <w:rFonts w:ascii="Arial" w:hAnsi="Arial" w:cs="Arial"/>
          <w:color w:val="000000"/>
          <w:sz w:val="20"/>
          <w:szCs w:val="20"/>
        </w:rPr>
        <w:t>e de l'essence dans les moteurs -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6384"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missions des moteurs en marche et </w:t>
      </w:r>
      <w:r w:rsidR="00226384">
        <w:rPr>
          <w:rFonts w:ascii="Arial" w:hAnsi="Arial" w:cs="Arial"/>
          <w:color w:val="000000"/>
          <w:sz w:val="20"/>
          <w:szCs w:val="20"/>
        </w:rPr>
        <w:t>évaporation</w:t>
      </w:r>
      <w:r>
        <w:rPr>
          <w:rFonts w:ascii="Arial" w:hAnsi="Arial" w:cs="Arial"/>
          <w:color w:val="000000"/>
          <w:sz w:val="20"/>
          <w:szCs w:val="20"/>
        </w:rPr>
        <w:t xml:space="preserve"> de l’essence </w:t>
      </w:r>
      <w:r w:rsidR="0022638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6384">
        <w:rPr>
          <w:rFonts w:ascii="Arial" w:hAnsi="Arial" w:cs="Arial"/>
          <w:color w:val="000000"/>
          <w:sz w:val="20"/>
          <w:szCs w:val="20"/>
        </w:rPr>
        <w:t xml:space="preserve">qui </w:t>
      </w:r>
      <w:r>
        <w:rPr>
          <w:rFonts w:ascii="Arial" w:hAnsi="Arial" w:cs="Arial"/>
          <w:color w:val="000000"/>
          <w:sz w:val="20"/>
          <w:szCs w:val="20"/>
        </w:rPr>
        <w:t>constitue la source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principale des émissions de benzène à l’air libre.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expositions au benzène, quel que soit leur niveau et leur durée, comportent des risques toxiques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 fait que le benzène est cancérigène. L’OMS estime qu’il n’y a pas de seuil sous lequel le benzène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 constitue pas un risque pour la santé.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Le toluène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toluène fait partie des hydrocarbures aromatiques issus des matières fossiles. Il peut se retrouver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dans l’environnement de manière naturelle (activité volcanique, feux de forêts, pétrole brut, etc.) ou de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manière anthropique (activités industrielles dans les secteurs pharmaceutiques, chimiques,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cosmétiques, imprimeries, vernis, peintures, produits ménagers et solvants ou encore dû au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tabagisme, etc.). Les principales sources d’exposition au toluène se trouvent dans les bâtiments. A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l’extérieur, le toluène provient du trafic routier.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effets sur la santé varient selon le degré d’exposition. Selon les recommandations de l’OMS, la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concentration en toluène ne devrait pas dépasser 260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</w:t>
      </w:r>
      <w:r w:rsidRPr="00281D1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en moyenne hebdomadaire (en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ambiance de travail) et 1000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</w:t>
      </w:r>
      <w:r w:rsidRPr="00281D1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en moyenne sur une demi-heure (seuil olfactif), afin de protéger la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santé humaine.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Le xylène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xylène est un hydrocarbure aromatique extrait du pétrole. Comme pour les précédents, le rejet de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xylène dans l’environnement peut-être naturel (activité volcanique, feux de forêts, pétrole brut, etc.) ou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anthropique. Ce composé est utilisé dans de nombreux secteurs (pharmaceutiques, chimiques,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peintures, vernis, imprimeries et également dans les insecticides, caoutchoucs, produits ménagers,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etc.). Par ailleurs, c’est un constituant de certains carburants et solvants pétroliers.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effets sur la santé varient selon le degré d’exposition de la personne. L’OMS propose une valeur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guide de 870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</w:t>
      </w:r>
      <w:r w:rsidRPr="00281D1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en moyenne annuelle et de 4800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</w:t>
      </w:r>
      <w:r w:rsidRPr="00281D1A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en moyenne sur 24h.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 Effets des COVNM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1.5.1. Effets sur la santé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L’accumulation de certains COVNM dans l’atmosphère peut avoir des impacts à moyen et long terme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sur la santé humaine. Les impacts de ces polluants sont divers et dépendent de la nature du polluant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 du degré d’exposition comme signalé précédemment. Une exposition à ces composés peut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entraîner une gêne olfactive qui peut être une source de stress pour la personne, une irritation des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voies respiratoires, cutanées et oculaires, une diminution de la capacité respiratoire ou encore des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effets cancérigènes ou mutagènes. Aujourd’hui, ce sont les problèmes allergiques qui sont les plus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interpelant</w:t>
      </w:r>
      <w:r>
        <w:rPr>
          <w:rFonts w:ascii="Arial" w:hAnsi="Arial" w:cs="Arial"/>
          <w:color w:val="000000"/>
          <w:sz w:val="20"/>
          <w:szCs w:val="20"/>
        </w:rPr>
        <w:t>. En effet la prévalence de ces pathologies est en constante augmentation, en incriminant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ainsi l’hygiène de plus en plus stricte de notre culture occidentale.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Les organes cibles des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sont principalement les yeux, la peau, le système respiratoire et le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système nerveux central. Certains présentent également un effet toxique pour le foie, la circulation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sanguine, les reins et le système cardiovasculaire.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1.5.2. Effets sur l’environnement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Sous l’effet du rayonnement solaire et en réaction avec des oxydes d’azote, les COVNM produisent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 oxydants photochimiques et participent ainsi à la formation d’ozone troposphérique.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formule de formation et de destruction d’ozone troposphérique s’établit comme suit :</w:t>
      </w:r>
    </w:p>
    <w:p w:rsidR="00281D1A" w:rsidRDefault="00281D1A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+ O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+ rayonnement UV &lt;=&gt; O</w:t>
      </w:r>
      <w:r>
        <w:rPr>
          <w:rFonts w:ascii="Arial" w:hAnsi="Arial" w:cs="Arial"/>
          <w:color w:val="000000"/>
          <w:sz w:val="13"/>
          <w:szCs w:val="13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+ NO</w:t>
      </w:r>
    </w:p>
    <w:p w:rsidR="00281D1A" w:rsidRDefault="00281D1A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l’absence de COVNM, un équilibre s’établit entre la formation et la destruction d’ozone. Les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COVNM viennent perturber cet équilibre car ils interagissent avec le NO. Ce dernier est alors en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grande partie oxydé en NO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>. Le NO n’est ainsi plus disponible pour la destruction de l’ozone et le NO</w:t>
      </w:r>
      <w:r>
        <w:rPr>
          <w:rFonts w:ascii="Arial" w:hAnsi="Arial" w:cs="Arial"/>
          <w:color w:val="000000"/>
          <w:sz w:val="13"/>
          <w:szCs w:val="13"/>
        </w:rPr>
        <w:t>2</w:t>
      </w:r>
      <w:r w:rsidR="00281D1A"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peut à nouveau, sous l’effet des rayons UV, former de l’ozone qui est nuisible pour l’homme, la</w:t>
      </w:r>
      <w:r w:rsidR="00281D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végétation, les forêts et les cultures.</w:t>
      </w: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</w:p>
    <w:p w:rsidR="00245D90" w:rsidRDefault="00245D90" w:rsidP="00245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</w:p>
    <w:sectPr w:rsidR="0024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90"/>
    <w:rsid w:val="00226384"/>
    <w:rsid w:val="00245D90"/>
    <w:rsid w:val="00281D1A"/>
    <w:rsid w:val="003E1492"/>
    <w:rsid w:val="00DE3E46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Mathiot</dc:creator>
  <cp:lastModifiedBy>Sebastien Mathiot</cp:lastModifiedBy>
  <cp:revision>2</cp:revision>
  <dcterms:created xsi:type="dcterms:W3CDTF">2017-02-01T09:54:00Z</dcterms:created>
  <dcterms:modified xsi:type="dcterms:W3CDTF">2017-02-01T09:54:00Z</dcterms:modified>
</cp:coreProperties>
</file>